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DA71C" w14:textId="77777777" w:rsidR="006353DD" w:rsidRDefault="006353DD">
      <w:pPr>
        <w:spacing w:line="360" w:lineRule="auto"/>
        <w:jc w:val="center"/>
        <w:rPr>
          <w:rFonts w:ascii="宋体" w:hAnsi="宋体"/>
          <w:sz w:val="52"/>
          <w:szCs w:val="52"/>
        </w:rPr>
      </w:pPr>
    </w:p>
    <w:p w14:paraId="2CB0D97B" w14:textId="77777777" w:rsidR="006353DD" w:rsidRDefault="006353DD">
      <w:pPr>
        <w:spacing w:line="360" w:lineRule="auto"/>
        <w:jc w:val="center"/>
        <w:rPr>
          <w:rFonts w:ascii="宋体" w:hAnsi="宋体"/>
          <w:sz w:val="52"/>
          <w:szCs w:val="52"/>
        </w:rPr>
      </w:pPr>
    </w:p>
    <w:p w14:paraId="17940459" w14:textId="77777777" w:rsidR="006353DD" w:rsidRDefault="006353DD">
      <w:pPr>
        <w:spacing w:line="360" w:lineRule="auto"/>
        <w:jc w:val="center"/>
        <w:rPr>
          <w:rFonts w:ascii="宋体" w:hAnsi="宋体"/>
          <w:sz w:val="52"/>
          <w:szCs w:val="52"/>
        </w:rPr>
      </w:pPr>
    </w:p>
    <w:p w14:paraId="24779ACF" w14:textId="77777777" w:rsidR="006353DD" w:rsidRDefault="006353DD">
      <w:pPr>
        <w:spacing w:line="360" w:lineRule="auto"/>
        <w:jc w:val="center"/>
        <w:rPr>
          <w:rFonts w:ascii="宋体" w:hAnsi="宋体"/>
          <w:sz w:val="52"/>
          <w:szCs w:val="52"/>
        </w:rPr>
      </w:pPr>
    </w:p>
    <w:p w14:paraId="1B7AADD3" w14:textId="747D15B5" w:rsidR="006353DD" w:rsidRDefault="00AC7FF8">
      <w:pPr>
        <w:spacing w:line="360" w:lineRule="auto"/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{{xzq</w:t>
      </w:r>
      <w:r w:rsidR="00ED5353">
        <w:rPr>
          <w:rFonts w:ascii="微软雅黑" w:eastAsia="微软雅黑" w:hAnsi="微软雅黑"/>
          <w:b/>
          <w:sz w:val="44"/>
          <w:szCs w:val="44"/>
        </w:rPr>
        <w:t>mc</w:t>
      </w:r>
      <w:r>
        <w:rPr>
          <w:rFonts w:ascii="微软雅黑" w:eastAsia="微软雅黑" w:hAnsi="微软雅黑" w:hint="eastAsia"/>
          <w:b/>
          <w:sz w:val="44"/>
          <w:szCs w:val="44"/>
        </w:rPr>
        <w:t>}}</w:t>
      </w:r>
      <w:r w:rsidR="009938AE">
        <w:rPr>
          <w:rFonts w:ascii="微软雅黑" w:eastAsia="微软雅黑" w:hAnsi="微软雅黑" w:cs="微软雅黑"/>
          <w:b/>
          <w:sz w:val="44"/>
        </w:rPr>
        <w:t>国土空间规划</w:t>
      </w:r>
    </w:p>
    <w:p w14:paraId="4C6B3B16" w14:textId="77777777" w:rsidR="006353DD" w:rsidRDefault="009938AE">
      <w:pPr>
        <w:spacing w:line="360" w:lineRule="auto"/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监测评估预警报告</w:t>
      </w:r>
    </w:p>
    <w:p w14:paraId="48C6A71D" w14:textId="77777777" w:rsidR="006353DD" w:rsidRDefault="006353DD">
      <w:pPr>
        <w:spacing w:line="360" w:lineRule="auto"/>
        <w:jc w:val="center"/>
        <w:rPr>
          <w:rFonts w:ascii="微软雅黑" w:eastAsia="微软雅黑" w:hAnsi="微软雅黑"/>
          <w:b/>
          <w:sz w:val="44"/>
          <w:szCs w:val="44"/>
        </w:rPr>
      </w:pPr>
    </w:p>
    <w:p w14:paraId="0805E180" w14:textId="77777777" w:rsidR="006353DD" w:rsidRDefault="009938AE">
      <w:pPr>
        <w:spacing w:line="360" w:lineRule="auto"/>
        <w:ind w:firstLine="4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24"/>
          <w:szCs w:val="24"/>
        </w:rPr>
        <w:t xml:space="preserve">                       </w:t>
      </w:r>
    </w:p>
    <w:p w14:paraId="64A8966F" w14:textId="77777777" w:rsidR="006353DD" w:rsidRDefault="006353DD">
      <w:pPr>
        <w:spacing w:line="360" w:lineRule="auto"/>
        <w:ind w:firstLine="480"/>
        <w:rPr>
          <w:rFonts w:ascii="宋体" w:hAnsi="宋体"/>
          <w:sz w:val="24"/>
          <w:szCs w:val="24"/>
        </w:rPr>
      </w:pPr>
    </w:p>
    <w:p w14:paraId="329FFD3D" w14:textId="77777777" w:rsidR="006353DD" w:rsidRDefault="006353DD">
      <w:pPr>
        <w:spacing w:line="360" w:lineRule="auto"/>
        <w:ind w:firstLine="480"/>
        <w:rPr>
          <w:rFonts w:ascii="宋体" w:hAnsi="宋体"/>
          <w:sz w:val="24"/>
          <w:szCs w:val="24"/>
        </w:rPr>
      </w:pPr>
    </w:p>
    <w:p w14:paraId="3EC2C9A1" w14:textId="77777777" w:rsidR="006353DD" w:rsidRDefault="006353DD">
      <w:pPr>
        <w:spacing w:line="360" w:lineRule="auto"/>
        <w:ind w:firstLine="480"/>
        <w:rPr>
          <w:rFonts w:ascii="宋体" w:hAnsi="宋体"/>
          <w:sz w:val="24"/>
          <w:szCs w:val="24"/>
        </w:rPr>
      </w:pPr>
    </w:p>
    <w:p w14:paraId="51BDEF5E" w14:textId="77777777" w:rsidR="006353DD" w:rsidRDefault="006353DD">
      <w:pPr>
        <w:spacing w:line="360" w:lineRule="auto"/>
        <w:ind w:firstLine="480"/>
        <w:rPr>
          <w:rFonts w:ascii="宋体" w:hAnsi="宋体"/>
          <w:sz w:val="24"/>
          <w:szCs w:val="24"/>
        </w:rPr>
      </w:pPr>
    </w:p>
    <w:p w14:paraId="7E94C6BB" w14:textId="77777777" w:rsidR="006353DD" w:rsidRDefault="006353DD">
      <w:pPr>
        <w:spacing w:line="360" w:lineRule="auto"/>
        <w:ind w:firstLine="480"/>
        <w:rPr>
          <w:rFonts w:ascii="宋体" w:hAnsi="宋体"/>
          <w:sz w:val="24"/>
          <w:szCs w:val="24"/>
        </w:rPr>
      </w:pPr>
    </w:p>
    <w:p w14:paraId="35356D8E" w14:textId="75EB84EB" w:rsidR="006353DD" w:rsidRDefault="006353DD" w:rsidP="00235EE3">
      <w:pPr>
        <w:spacing w:line="360" w:lineRule="auto"/>
        <w:rPr>
          <w:rFonts w:ascii="宋体" w:hAnsi="宋体"/>
          <w:sz w:val="24"/>
          <w:szCs w:val="24"/>
        </w:rPr>
      </w:pPr>
    </w:p>
    <w:p w14:paraId="67570FFF" w14:textId="77777777" w:rsidR="00235EE3" w:rsidRPr="00235EE3" w:rsidRDefault="00235EE3" w:rsidP="00235EE3">
      <w:pPr>
        <w:spacing w:line="360" w:lineRule="auto"/>
        <w:rPr>
          <w:rFonts w:ascii="宋体" w:hAnsi="宋体"/>
          <w:sz w:val="24"/>
          <w:szCs w:val="24"/>
        </w:rPr>
      </w:pPr>
    </w:p>
    <w:p w14:paraId="5DB8A2F9" w14:textId="77777777" w:rsidR="006353DD" w:rsidRDefault="006353DD">
      <w:pPr>
        <w:spacing w:line="360" w:lineRule="auto"/>
        <w:ind w:firstLine="480"/>
        <w:rPr>
          <w:rFonts w:ascii="宋体" w:hAnsi="宋体"/>
          <w:sz w:val="24"/>
          <w:szCs w:val="24"/>
        </w:rPr>
      </w:pPr>
    </w:p>
    <w:p w14:paraId="0F5101C0" w14:textId="05FB48C3" w:rsidR="006353DD" w:rsidRDefault="00EB440D">
      <w:pPr>
        <w:widowControl/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{</w:t>
      </w:r>
      <w:r>
        <w:rPr>
          <w:rFonts w:ascii="黑体" w:eastAsia="黑体" w:hAnsi="黑体"/>
          <w:b/>
          <w:sz w:val="32"/>
          <w:szCs w:val="32"/>
        </w:rPr>
        <w:t>{xzqmc}}</w:t>
      </w:r>
      <w:r w:rsidR="009938AE">
        <w:rPr>
          <w:rFonts w:ascii="黑体" w:eastAsia="黑体" w:hAnsi="黑体" w:cs="黑体"/>
          <w:b/>
          <w:sz w:val="32"/>
        </w:rPr>
        <w:t>自然资源和规划局</w:t>
      </w:r>
    </w:p>
    <w:p w14:paraId="31BCEDAE" w14:textId="72A9E46B" w:rsidR="006353DD" w:rsidRDefault="00D113F4">
      <w:pPr>
        <w:widowControl/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{{year}}</w:t>
      </w:r>
    </w:p>
    <w:p w14:paraId="37F6F844" w14:textId="77777777" w:rsidR="006353DD" w:rsidRDefault="006353DD">
      <w:pPr>
        <w:widowControl/>
        <w:spacing w:line="360" w:lineRule="auto"/>
        <w:jc w:val="left"/>
        <w:rPr>
          <w:rFonts w:ascii="宋体" w:hAnsi="宋体"/>
          <w:sz w:val="24"/>
          <w:szCs w:val="24"/>
        </w:rPr>
        <w:sectPr w:rsidR="006353DD">
          <w:pgSz w:w="11906" w:h="16838"/>
          <w:pgMar w:top="1440" w:right="1800" w:bottom="1440" w:left="1800" w:header="851" w:footer="992" w:gutter="0"/>
          <w:cols w:space="720"/>
          <w:docGrid w:linePitch="360"/>
        </w:sectPr>
      </w:pPr>
    </w:p>
    <w:p w14:paraId="189F0A31" w14:textId="77777777" w:rsidR="006353DD" w:rsidRDefault="009938AE">
      <w:pPr>
        <w:jc w:val="center"/>
        <w:rPr>
          <w:rFonts w:ascii="仿宋" w:eastAsia="仿宋" w:hAnsi="仿宋"/>
          <w:b/>
          <w:sz w:val="36"/>
          <w:szCs w:val="32"/>
        </w:rPr>
      </w:pPr>
      <w:r>
        <w:rPr>
          <w:rFonts w:ascii="仿宋" w:eastAsia="仿宋" w:hAnsi="仿宋" w:hint="eastAsia"/>
          <w:b/>
          <w:sz w:val="36"/>
          <w:szCs w:val="32"/>
        </w:rPr>
        <w:lastRenderedPageBreak/>
        <w:t>目 录</w:t>
      </w:r>
    </w:p>
    <w:p w14:paraId="2856CA33" w14:textId="77777777" w:rsidR="006353DD" w:rsidRDefault="009938AE">
      <w:pPr>
        <w:tabs>
          <w:tab w:val="right" w:leader="dot" w:pos="8296"/>
        </w:tabs>
        <w:rPr>
          <w:b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8306740" w:tooltip="Current Document" w:history="1">
        <w:r>
          <w:rPr>
            <w:rStyle w:val="af7"/>
            <w:rFonts w:ascii="宋体" w:hAnsi="宋体" w:hint="eastAsia"/>
          </w:rPr>
          <w:t>一、总体结论</w:t>
        </w:r>
        <w:r>
          <w:rPr>
            <w:rStyle w:val="af7"/>
          </w:rPr>
          <w:tab/>
        </w: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PAGEREF _Toc38306740 \h </w:instrText>
        </w:r>
        <w:r>
          <w:rPr>
            <w:rStyle w:val="af7"/>
          </w:rPr>
        </w:r>
        <w:r>
          <w:rPr>
            <w:rStyle w:val="af7"/>
          </w:rPr>
          <w:fldChar w:fldCharType="separate"/>
        </w:r>
        <w:r>
          <w:rPr>
            <w:rStyle w:val="af7"/>
          </w:rPr>
          <w:t>1</w:t>
        </w:r>
        <w:r>
          <w:rPr>
            <w:rStyle w:val="af7"/>
          </w:rPr>
          <w:fldChar w:fldCharType="end"/>
        </w:r>
      </w:hyperlink>
    </w:p>
    <w:p w14:paraId="2497DC8C" w14:textId="77777777" w:rsidR="006353DD" w:rsidRDefault="009C196F">
      <w:pPr>
        <w:tabs>
          <w:tab w:val="right" w:leader="dot" w:pos="8296"/>
        </w:tabs>
        <w:rPr>
          <w:b/>
        </w:rPr>
      </w:pPr>
      <w:hyperlink w:anchor="_Toc38306741" w:tooltip="Current Document" w:history="1">
        <w:r w:rsidR="009938AE">
          <w:rPr>
            <w:rStyle w:val="af7"/>
            <w:rFonts w:ascii="宋体" w:hAnsi="宋体" w:hint="eastAsia"/>
          </w:rPr>
          <w:t>二、指标监测预警</w:t>
        </w:r>
        <w:r w:rsidR="009938AE">
          <w:rPr>
            <w:rStyle w:val="af7"/>
          </w:rPr>
          <w:tab/>
        </w:r>
        <w:r w:rsidR="009938AE">
          <w:rPr>
            <w:rStyle w:val="af7"/>
          </w:rPr>
          <w:fldChar w:fldCharType="begin"/>
        </w:r>
        <w:r w:rsidR="009938AE">
          <w:rPr>
            <w:rStyle w:val="af7"/>
          </w:rPr>
          <w:instrText xml:space="preserve"> PAGEREF _Toc38306741 \h </w:instrText>
        </w:r>
        <w:r w:rsidR="009938AE">
          <w:rPr>
            <w:rStyle w:val="af7"/>
          </w:rPr>
        </w:r>
        <w:r w:rsidR="009938AE">
          <w:rPr>
            <w:rStyle w:val="af7"/>
          </w:rPr>
          <w:fldChar w:fldCharType="separate"/>
        </w:r>
        <w:r w:rsidR="009938AE">
          <w:rPr>
            <w:rStyle w:val="af7"/>
          </w:rPr>
          <w:t>2</w:t>
        </w:r>
        <w:r w:rsidR="009938AE">
          <w:rPr>
            <w:rStyle w:val="af7"/>
          </w:rPr>
          <w:fldChar w:fldCharType="end"/>
        </w:r>
      </w:hyperlink>
    </w:p>
    <w:p w14:paraId="70F4AE6A" w14:textId="77777777" w:rsidR="006353DD" w:rsidRDefault="009C196F">
      <w:hyperlink w:anchor="_Toc38306742" w:tooltip="Current Document" w:history="1">
        <w:r w:rsidR="009938AE">
          <w:rPr>
            <w:rStyle w:val="af7"/>
            <w:rFonts w:ascii="宋体" w:hAnsi="宋体" w:hint="eastAsia"/>
          </w:rPr>
          <w:t>（一）约束性指标</w:t>
        </w:r>
        <w:r w:rsidR="009938AE">
          <w:rPr>
            <w:rStyle w:val="af7"/>
          </w:rPr>
          <w:tab/>
        </w:r>
        <w:r w:rsidR="009938AE">
          <w:rPr>
            <w:rStyle w:val="af7"/>
          </w:rPr>
          <w:fldChar w:fldCharType="begin"/>
        </w:r>
        <w:r w:rsidR="009938AE">
          <w:rPr>
            <w:rStyle w:val="af7"/>
          </w:rPr>
          <w:instrText xml:space="preserve"> PAGEREF _Toc38306742 \h </w:instrText>
        </w:r>
        <w:r w:rsidR="009938AE">
          <w:rPr>
            <w:rStyle w:val="af7"/>
          </w:rPr>
        </w:r>
        <w:r w:rsidR="009938AE">
          <w:rPr>
            <w:rStyle w:val="af7"/>
          </w:rPr>
          <w:fldChar w:fldCharType="separate"/>
        </w:r>
        <w:r w:rsidR="009938AE">
          <w:rPr>
            <w:rStyle w:val="af7"/>
          </w:rPr>
          <w:t>2</w:t>
        </w:r>
        <w:r w:rsidR="009938AE">
          <w:rPr>
            <w:rStyle w:val="af7"/>
          </w:rPr>
          <w:fldChar w:fldCharType="end"/>
        </w:r>
      </w:hyperlink>
    </w:p>
    <w:p w14:paraId="75D40440" w14:textId="77777777" w:rsidR="006353DD" w:rsidRDefault="009938AE">
      <w:r>
        <w:fldChar w:fldCharType="end"/>
      </w:r>
    </w:p>
    <w:p w14:paraId="61B4133E" w14:textId="77777777" w:rsidR="006353DD" w:rsidRDefault="006353DD">
      <w:pPr>
        <w:widowControl/>
        <w:jc w:val="left"/>
        <w:sectPr w:rsidR="006353DD">
          <w:pgSz w:w="11906" w:h="16838"/>
          <w:pgMar w:top="1440" w:right="1800" w:bottom="1440" w:left="1800" w:header="851" w:footer="992" w:gutter="0"/>
          <w:pgNumType w:start="1"/>
          <w:cols w:space="720"/>
          <w:docGrid w:linePitch="360"/>
        </w:sectPr>
      </w:pPr>
    </w:p>
    <w:p w14:paraId="54532570" w14:textId="77777777" w:rsidR="006353DD" w:rsidRDefault="009938AE">
      <w:pPr>
        <w:pStyle w:val="1"/>
        <w:keepNext w:val="0"/>
        <w:keepLines w:val="0"/>
        <w:rPr>
          <w:rFonts w:ascii="宋体" w:hAnsi="宋体"/>
        </w:rPr>
      </w:pPr>
      <w:bookmarkStart w:id="0" w:name="_Toc38306740"/>
      <w:bookmarkStart w:id="1" w:name="_Toc38278409"/>
      <w:bookmarkStart w:id="2" w:name="_Toc20124452"/>
      <w:r>
        <w:rPr>
          <w:rFonts w:ascii="宋体" w:hAnsi="宋体" w:hint="eastAsia"/>
        </w:rPr>
        <w:lastRenderedPageBreak/>
        <w:t>一、总体结论</w:t>
      </w:r>
      <w:bookmarkEnd w:id="0"/>
      <w:bookmarkEnd w:id="1"/>
      <w:bookmarkEnd w:id="2"/>
    </w:p>
    <w:p w14:paraId="14D01374" w14:textId="77777777" w:rsidR="006353DD" w:rsidRDefault="009938AE">
      <w:pPr>
        <w:pStyle w:val="Char"/>
        <w:ind w:firstLine="560"/>
      </w:pPr>
      <w:r>
        <w:rPr>
          <w:rFonts w:hint="eastAsia"/>
        </w:rPr>
        <w:t>本次国土空间规划实施指标监测预警中约束性指标共计</w:t>
      </w:r>
      <w:r>
        <w:t>21</w:t>
      </w:r>
      <w:r>
        <w:rPr>
          <w:rFonts w:hint="eastAsia"/>
        </w:rPr>
        <w:t>个，且均未突破，管控边界共计</w:t>
      </w:r>
      <w:r>
        <w:t>0</w:t>
      </w:r>
      <w:r>
        <w:rPr>
          <w:rFonts w:hint="eastAsia"/>
        </w:rPr>
        <w:t>个，且均未突破。</w:t>
      </w:r>
    </w:p>
    <w:p w14:paraId="0D8713D9" w14:textId="1DCE6F9C" w:rsidR="006353DD" w:rsidRDefault="009938AE">
      <w:pPr>
        <w:pStyle w:val="af4"/>
        <w:jc w:val="center"/>
      </w:pPr>
      <w:r>
        <w:rPr>
          <w:rFonts w:hint="eastAsia"/>
        </w:rPr>
        <w:t>表</w:t>
      </w:r>
      <w:r>
        <w:t xml:space="preserve"> </w:t>
      </w:r>
      <w:r>
        <w:fldChar w:fldCharType="begin"/>
      </w:r>
      <w:r>
        <w:instrText xml:space="preserve"> SEQ </w:instrText>
      </w:r>
      <w:r>
        <w:rPr>
          <w:rFonts w:hint="eastAsia"/>
        </w:rPr>
        <w:instrText>表</w:instrText>
      </w:r>
      <w:r>
        <w:instrText xml:space="preserve"> \* ARABIC </w:instrText>
      </w:r>
      <w:r>
        <w:fldChar w:fldCharType="separate"/>
      </w:r>
      <w:r>
        <w:t>1</w:t>
      </w:r>
      <w:r>
        <w:fldChar w:fldCharType="end"/>
      </w:r>
      <w:r>
        <w:t xml:space="preserve"> </w:t>
      </w:r>
      <w:r>
        <w:rPr>
          <w:rFonts w:hint="eastAsia"/>
        </w:rPr>
        <w:t>约束性指标监测预警汇总</w:t>
      </w:r>
      <w:r w:rsidR="0042397C">
        <w:rPr>
          <w:rFonts w:hint="eastAsia"/>
        </w:rPr>
        <w:t>{</w:t>
      </w:r>
      <w:r w:rsidR="0042397C">
        <w:t>{?list}}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1339"/>
        <w:gridCol w:w="1294"/>
        <w:gridCol w:w="1479"/>
        <w:gridCol w:w="823"/>
      </w:tblGrid>
      <w:tr w:rsidR="006353DD" w14:paraId="5C78C38E" w14:textId="77777777" w:rsidTr="00FC1685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22FB" w14:textId="5AB63CE9" w:rsidR="006353DD" w:rsidRDefault="001B4CD6">
            <w:pPr>
              <w:pStyle w:val="HTML"/>
              <w:shd w:val="clear" w:color="auto" w:fill="FFFFFF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{</w:t>
            </w:r>
            <w:r>
              <w:rPr>
                <w:b/>
              </w:rPr>
              <w:t>{sumYsxIndexMonWarnings}}</w:t>
            </w:r>
            <w:r w:rsidR="009938AE">
              <w:rPr>
                <w:rFonts w:hint="eastAsia"/>
                <w:b/>
              </w:rPr>
              <w:t>约束性指标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C509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规划目标（</w:t>
            </w:r>
            <w:r>
              <w:rPr>
                <w:b/>
              </w:rPr>
              <w:t>2035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B98C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监测值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EA14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差值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E047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预警状态</w:t>
            </w:r>
          </w:p>
        </w:tc>
      </w:tr>
      <w:tr w:rsidR="006353DD" w14:paraId="478B5D99" w14:textId="77777777" w:rsidTr="00FC1685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0E89" w14:textId="19E627A2" w:rsidR="006353DD" w:rsidRDefault="00FC1685">
            <w:pPr>
              <w:pStyle w:val="Char"/>
              <w:ind w:firstLine="0"/>
            </w:pPr>
            <w:r>
              <w:rPr>
                <w:rFonts w:hint="eastAsia"/>
              </w:rPr>
              <w:t>[</w:t>
            </w:r>
            <w:r>
              <w:t>ysxzb]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501F" w14:textId="0514A99D" w:rsidR="006353DD" w:rsidRDefault="00E10A4F">
            <w:pPr>
              <w:pStyle w:val="Char"/>
              <w:ind w:firstLine="0"/>
              <w:jc w:val="center"/>
            </w:pPr>
            <w:r>
              <w:t>[ghmb]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917F" w14:textId="1ADADBAB" w:rsidR="006353DD" w:rsidRDefault="00BA00B7">
            <w:pPr>
              <w:pStyle w:val="Char"/>
              <w:ind w:firstLine="0"/>
              <w:jc w:val="center"/>
            </w:pPr>
            <w:r>
              <w:t>[jcz]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A5FB" w14:textId="225EDD72" w:rsidR="006353DD" w:rsidRDefault="008722FF">
            <w:pPr>
              <w:pStyle w:val="Char"/>
              <w:ind w:firstLine="0"/>
              <w:jc w:val="center"/>
            </w:pPr>
            <w:r>
              <w:rPr>
                <w:rFonts w:hint="eastAsia"/>
              </w:rPr>
              <w:t>[</w:t>
            </w:r>
            <w:r>
              <w:t>cz]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56CB" w14:textId="67B704B3" w:rsidR="006353DD" w:rsidRDefault="00A63BB5">
            <w:pPr>
              <w:pStyle w:val="Char"/>
              <w:ind w:firstLine="0"/>
              <w:jc w:val="center"/>
            </w:pPr>
            <w:r>
              <w:rPr>
                <w:rFonts w:hint="eastAsia"/>
              </w:rPr>
              <w:t>[</w:t>
            </w:r>
            <w:r>
              <w:t>yjzt]</w:t>
            </w:r>
          </w:p>
        </w:tc>
      </w:tr>
    </w:tbl>
    <w:p w14:paraId="56F004DC" w14:textId="77777777" w:rsidR="006353DD" w:rsidRDefault="009938AE">
      <w:pPr>
        <w:pStyle w:val="af4"/>
        <w:jc w:val="center"/>
      </w:pPr>
      <w:r>
        <w:rPr>
          <w:rFonts w:hint="eastAsia"/>
        </w:rPr>
        <w:t>表</w:t>
      </w:r>
      <w:r>
        <w:t xml:space="preserve"> </w:t>
      </w:r>
      <w:r>
        <w:fldChar w:fldCharType="begin"/>
      </w:r>
      <w:r>
        <w:instrText xml:space="preserve"> SEQ </w:instrText>
      </w:r>
      <w:r>
        <w:rPr>
          <w:rFonts w:hint="eastAsia"/>
        </w:rPr>
        <w:instrText>表</w:instrText>
      </w:r>
      <w:r>
        <w:instrText xml:space="preserve"> \* ARABIC </w:instrText>
      </w:r>
      <w:r>
        <w:fldChar w:fldCharType="separate"/>
      </w:r>
      <w:r>
        <w:t>2</w:t>
      </w:r>
      <w:r>
        <w:fldChar w:fldCharType="end"/>
      </w:r>
      <w:r>
        <w:t xml:space="preserve"> </w:t>
      </w:r>
      <w:r>
        <w:rPr>
          <w:rFonts w:hint="eastAsia"/>
        </w:rPr>
        <w:t>管控边界监测预警汇总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1604"/>
        <w:gridCol w:w="1604"/>
        <w:gridCol w:w="1604"/>
      </w:tblGrid>
      <w:tr w:rsidR="006353DD" w14:paraId="78964378" w14:textId="77777777" w:rsidTr="008124C6"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60E2" w14:textId="3F91D74B" w:rsidR="006353DD" w:rsidRDefault="008124C6">
            <w:pPr>
              <w:pStyle w:val="HTML"/>
              <w:shd w:val="clear" w:color="auto" w:fill="FFFFFF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{</w:t>
            </w:r>
            <w:r>
              <w:rPr>
                <w:b/>
              </w:rPr>
              <w:t>{sumContBoundMonWarnings}}</w:t>
            </w:r>
            <w:r w:rsidR="009938AE">
              <w:rPr>
                <w:rFonts w:hint="eastAsia"/>
                <w:b/>
              </w:rPr>
              <w:t>管控边界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ACB2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疑似问题个数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0666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突破底线面积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59CF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突破状态</w:t>
            </w:r>
          </w:p>
        </w:tc>
      </w:tr>
      <w:tr w:rsidR="006353DD" w14:paraId="79B750FC" w14:textId="77777777" w:rsidTr="008124C6"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5AAA" w14:textId="2FEAA5A2" w:rsidR="006353DD" w:rsidRDefault="008124C6">
            <w:pPr>
              <w:pStyle w:val="Char"/>
              <w:ind w:firstLine="0"/>
            </w:pPr>
            <w:r>
              <w:rPr>
                <w:rFonts w:hint="eastAsia"/>
              </w:rPr>
              <w:t>[</w:t>
            </w:r>
            <w:r>
              <w:t>gkbj]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0034" w14:textId="1536CCCB" w:rsidR="006353DD" w:rsidRDefault="00383949">
            <w:pPr>
              <w:pStyle w:val="Char"/>
              <w:ind w:firstLine="0"/>
              <w:jc w:val="center"/>
            </w:pPr>
            <w:r>
              <w:t>[yswtgs]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9992" w14:textId="65868002" w:rsidR="006353DD" w:rsidRDefault="00136EFF">
            <w:pPr>
              <w:pStyle w:val="Char"/>
              <w:ind w:firstLine="0"/>
              <w:jc w:val="center"/>
            </w:pPr>
            <w:r>
              <w:t>[tpdxmj]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1EE0" w14:textId="7EBF8C5C" w:rsidR="006353DD" w:rsidRDefault="00CC220F">
            <w:pPr>
              <w:pStyle w:val="Char"/>
              <w:ind w:firstLine="0"/>
              <w:jc w:val="center"/>
            </w:pPr>
            <w:r>
              <w:rPr>
                <w:rFonts w:hint="eastAsia"/>
              </w:rPr>
              <w:t>[</w:t>
            </w:r>
            <w:r>
              <w:t>tpzt]</w:t>
            </w:r>
          </w:p>
        </w:tc>
      </w:tr>
    </w:tbl>
    <w:p w14:paraId="25AA74D5" w14:textId="63688DF8" w:rsidR="006353DD" w:rsidRDefault="009938AE">
      <w:pPr>
        <w:pStyle w:val="1"/>
        <w:keepNext w:val="0"/>
        <w:keepLines w:val="0"/>
        <w:rPr>
          <w:rFonts w:ascii="宋体" w:hAnsi="宋体"/>
        </w:rPr>
      </w:pPr>
      <w:bookmarkStart w:id="3" w:name="_Toc38278413"/>
      <w:bookmarkStart w:id="4" w:name="_Toc20124456"/>
      <w:bookmarkStart w:id="5" w:name="_Toc38306741"/>
      <w:r>
        <w:rPr>
          <w:rFonts w:ascii="宋体" w:hAnsi="宋体" w:hint="eastAsia"/>
        </w:rPr>
        <w:t>二、</w:t>
      </w:r>
      <w:bookmarkStart w:id="6" w:name="_Toc9005022"/>
      <w:bookmarkStart w:id="7" w:name="_Toc8975950"/>
      <w:bookmarkEnd w:id="3"/>
      <w:bookmarkEnd w:id="4"/>
      <w:r>
        <w:rPr>
          <w:rFonts w:ascii="宋体" w:hAnsi="宋体" w:hint="eastAsia"/>
        </w:rPr>
        <w:t>指标监测预警</w:t>
      </w:r>
      <w:bookmarkEnd w:id="5"/>
      <w:bookmarkEnd w:id="6"/>
      <w:bookmarkEnd w:id="7"/>
      <w:r w:rsidR="00CD78F9">
        <w:rPr>
          <w:rFonts w:ascii="宋体" w:hAnsi="宋体" w:hint="eastAsia"/>
        </w:rPr>
        <w:t>{</w:t>
      </w:r>
      <w:r w:rsidR="00CD78F9">
        <w:rPr>
          <w:rFonts w:ascii="宋体" w:hAnsi="宋体"/>
        </w:rPr>
        <w:t>{/list}}</w:t>
      </w:r>
    </w:p>
    <w:p w14:paraId="1750D12B" w14:textId="2B1E770C" w:rsidR="006353DD" w:rsidRDefault="009938AE">
      <w:pPr>
        <w:pStyle w:val="2"/>
        <w:keepNext w:val="0"/>
        <w:keepLines w:val="0"/>
        <w:rPr>
          <w:rFonts w:ascii="宋体" w:hAnsi="宋体"/>
        </w:rPr>
      </w:pPr>
      <w:bookmarkStart w:id="8" w:name="_Toc38278414"/>
      <w:bookmarkStart w:id="9" w:name="_Toc20124457"/>
      <w:bookmarkStart w:id="10" w:name="_Toc38306742"/>
      <w:r>
        <w:rPr>
          <w:rFonts w:ascii="宋体" w:hAnsi="宋体" w:hint="eastAsia"/>
        </w:rPr>
        <w:t>（一）</w:t>
      </w:r>
      <w:bookmarkStart w:id="11" w:name="_Toc9005023"/>
      <w:bookmarkEnd w:id="8"/>
      <w:bookmarkEnd w:id="9"/>
      <w:r>
        <w:rPr>
          <w:rFonts w:ascii="宋体" w:hAnsi="宋体" w:hint="eastAsia"/>
        </w:rPr>
        <w:t>约束性指标</w:t>
      </w:r>
      <w:bookmarkEnd w:id="10"/>
      <w:bookmarkEnd w:id="11"/>
      <w:r w:rsidR="00784976">
        <w:rPr>
          <w:rFonts w:ascii="宋体" w:hAnsi="宋体" w:hint="eastAsia"/>
        </w:rPr>
        <w:t>{</w:t>
      </w:r>
      <w:r w:rsidR="00784976">
        <w:rPr>
          <w:rFonts w:ascii="宋体" w:hAnsi="宋体"/>
        </w:rPr>
        <w:t>{?datas}}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6353DD" w14:paraId="33073AF1" w14:textId="77777777">
        <w:tc>
          <w:tcPr>
            <w:tcW w:w="8296" w:type="dxa"/>
          </w:tcPr>
          <w:p w14:paraId="12752488" w14:textId="4E0E7369" w:rsidR="006353DD" w:rsidRDefault="008441F9">
            <w:pPr>
              <w:widowControl/>
              <w:numPr>
                <w:ilvl w:val="0"/>
                <w:numId w:val="2"/>
              </w:numPr>
              <w:spacing w:before="240" w:after="120"/>
              <w:rPr>
                <w:rFonts w:ascii="仿宋" w:eastAsia="仿宋" w:hAnsi="宋体"/>
                <w:b/>
                <w:sz w:val="32"/>
                <w:szCs w:val="32"/>
              </w:rPr>
            </w:pPr>
            <w:r>
              <w:rPr>
                <w:rFonts w:ascii="仿宋" w:eastAsia="仿宋" w:hAnsi="宋体" w:hint="eastAsia"/>
                <w:b/>
                <w:sz w:val="32"/>
                <w:szCs w:val="32"/>
              </w:rPr>
              <w:t>{</w:t>
            </w:r>
            <w:r>
              <w:rPr>
                <w:rFonts w:ascii="仿宋" w:eastAsia="仿宋" w:hAnsi="宋体"/>
                <w:b/>
                <w:sz w:val="32"/>
                <w:szCs w:val="32"/>
              </w:rPr>
              <w:t>{name}}</w:t>
            </w:r>
          </w:p>
        </w:tc>
      </w:tr>
      <w:tr w:rsidR="006353DD" w14:paraId="6A8A2FF7" w14:textId="77777777">
        <w:tc>
          <w:tcPr>
            <w:tcW w:w="8296" w:type="dxa"/>
          </w:tcPr>
          <w:p w14:paraId="376CF89B" w14:textId="77777777" w:rsidR="006353DD" w:rsidRDefault="009938AE">
            <w:pPr>
              <w:pStyle w:val="Char"/>
              <w:ind w:firstLine="562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）指标分析结果</w:t>
            </w:r>
          </w:p>
        </w:tc>
      </w:tr>
      <w:tr w:rsidR="006353DD" w14:paraId="30E3C2AF" w14:textId="77777777">
        <w:tc>
          <w:tcPr>
            <w:tcW w:w="8296" w:type="dxa"/>
          </w:tcPr>
          <w:p w14:paraId="525F18E1" w14:textId="09A060A3" w:rsidR="006353DD" w:rsidRDefault="0082193F">
            <w:pPr>
              <w:pStyle w:val="HTML"/>
              <w:shd w:val="clear" w:color="auto" w:fill="FFFFFF"/>
              <w:ind w:firstLine="560"/>
              <w:rPr>
                <w:rFonts w:ascii="Times New Roman" w:eastAsia="仿宋" w:hAnsi="Times New Roman"/>
                <w:sz w:val="28"/>
              </w:rPr>
            </w:pPr>
            <w:r>
              <w:rPr>
                <w:rFonts w:ascii="Times New Roman" w:eastAsia="仿宋" w:hAnsi="Times New Roman" w:hint="eastAsia"/>
                <w:sz w:val="28"/>
              </w:rPr>
              <w:t>{</w:t>
            </w:r>
            <w:r>
              <w:rPr>
                <w:rFonts w:ascii="Times New Roman" w:eastAsia="仿宋" w:hAnsi="Times New Roman"/>
                <w:sz w:val="28"/>
              </w:rPr>
              <w:t>{xzq}}</w:t>
            </w:r>
            <w:r w:rsidR="003F604E">
              <w:rPr>
                <w:rFonts w:ascii="Times New Roman" w:eastAsia="Times New Roman" w:hAnsi="Times New Roman" w:cs="Times New Roman"/>
                <w:sz w:val="28"/>
              </w:rPr>
              <w:t>{{nf}}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年</w:t>
            </w:r>
            <w:r w:rsidR="00F454F5">
              <w:rPr>
                <w:rFonts w:ascii="Times New Roman" w:eastAsia="仿宋" w:hAnsi="Times New Roman" w:hint="eastAsia"/>
                <w:sz w:val="28"/>
              </w:rPr>
              <w:t>{</w:t>
            </w:r>
            <w:r w:rsidR="00F454F5">
              <w:rPr>
                <w:rFonts w:ascii="Times New Roman" w:eastAsia="仿宋" w:hAnsi="Times New Roman"/>
                <w:sz w:val="28"/>
              </w:rPr>
              <w:t>{name}}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监测现状的数值为</w:t>
            </w:r>
            <w:r w:rsidR="007B2791">
              <w:rPr>
                <w:rFonts w:ascii="Times New Roman" w:eastAsia="仿宋" w:hAnsi="Times New Roman"/>
                <w:sz w:val="28"/>
              </w:rPr>
              <w:t>{{jcxzdsz}}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平方千米，规划目标（</w:t>
            </w:r>
            <w:r w:rsidR="009938AE">
              <w:rPr>
                <w:rFonts w:ascii="Times New Roman" w:eastAsia="仿宋" w:hAnsi="Times New Roman"/>
                <w:sz w:val="28"/>
              </w:rPr>
              <w:t>2035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）的数值为</w:t>
            </w:r>
            <w:r w:rsidR="00C92E20">
              <w:rPr>
                <w:rFonts w:ascii="Times New Roman" w:eastAsia="仿宋" w:hAnsi="Times New Roman"/>
                <w:sz w:val="28"/>
              </w:rPr>
              <w:t>{{ghmbdsz}}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平方千米，现状与规划目标相差</w:t>
            </w:r>
            <w:r w:rsidR="00283555">
              <w:rPr>
                <w:rFonts w:ascii="Times New Roman" w:eastAsia="仿宋" w:hAnsi="Times New Roman"/>
                <w:sz w:val="28"/>
              </w:rPr>
              <w:t>{{xzyghmbxc}}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平方千米。同上一年比较，环比增长为</w:t>
            </w:r>
            <w:r w:rsidR="00395215">
              <w:rPr>
                <w:rFonts w:ascii="Times New Roman" w:eastAsia="仿宋" w:hAnsi="Times New Roman"/>
                <w:sz w:val="28"/>
              </w:rPr>
              <w:t>{{hbzz}}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，增幅为</w:t>
            </w:r>
            <w:r w:rsidR="00801CB3">
              <w:rPr>
                <w:rFonts w:ascii="Times New Roman" w:eastAsia="仿宋" w:hAnsi="Times New Roman"/>
                <w:sz w:val="28"/>
              </w:rPr>
              <w:t>{{zf}}</w:t>
            </w:r>
            <w:r w:rsidR="009938AE">
              <w:rPr>
                <w:rFonts w:ascii="Times New Roman" w:eastAsia="仿宋" w:hAnsi="Times New Roman" w:hint="eastAsia"/>
                <w:sz w:val="28"/>
              </w:rPr>
              <w:t>。</w:t>
            </w:r>
          </w:p>
          <w:p w14:paraId="254A5D23" w14:textId="77777777" w:rsidR="006353DD" w:rsidRDefault="006353DD">
            <w:pPr>
              <w:pStyle w:val="HTML"/>
              <w:shd w:val="clear" w:color="auto" w:fill="FFFFFF"/>
              <w:ind w:firstLine="360"/>
              <w:rPr>
                <w:color w:val="000000"/>
                <w:sz w:val="18"/>
                <w:szCs w:val="18"/>
              </w:rPr>
            </w:pPr>
          </w:p>
        </w:tc>
      </w:tr>
      <w:tr w:rsidR="006353DD" w14:paraId="0BE6106B" w14:textId="77777777">
        <w:tc>
          <w:tcPr>
            <w:tcW w:w="8296" w:type="dxa"/>
          </w:tcPr>
          <w:p w14:paraId="2CB08B8B" w14:textId="3136CE74" w:rsidR="006353DD" w:rsidRDefault="009938AE">
            <w:pPr>
              <w:pStyle w:val="af4"/>
              <w:keepNext/>
              <w:jc w:val="center"/>
            </w:pPr>
            <w:r>
              <w:rPr>
                <w:rFonts w:hint="eastAsia"/>
              </w:rPr>
              <w:t>表</w:t>
            </w:r>
            <w:r>
              <w:t xml:space="preserve"> </w:t>
            </w:r>
            <w:r w:rsidR="00AE5A5E">
              <w:t>{{headZb}}</w:t>
            </w:r>
            <w:r>
              <w:rPr>
                <w:rFonts w:hint="eastAsia"/>
              </w:rPr>
              <w:t>指标变化表</w:t>
            </w:r>
          </w:p>
        </w:tc>
      </w:tr>
    </w:tbl>
    <w:p w14:paraId="14107FD6" w14:textId="77777777" w:rsidR="006353DD" w:rsidRDefault="006353D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1846"/>
        <w:gridCol w:w="1847"/>
        <w:gridCol w:w="1847"/>
      </w:tblGrid>
      <w:tr w:rsidR="006353DD" w14:paraId="5A879A06" w14:textId="77777777" w:rsidTr="00E405EE"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99A" w14:textId="48C2BC82" w:rsidR="006353DD" w:rsidRDefault="0088195A">
            <w:pPr>
              <w:pStyle w:val="HTML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{{indexChangeTables}}</w:t>
            </w:r>
            <w:r w:rsidR="009938AE">
              <w:rPr>
                <w:rFonts w:hint="eastAsia"/>
                <w:b/>
              </w:rPr>
              <w:t>监测时间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6003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监测值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2F7A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增量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33BC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增长率</w:t>
            </w:r>
          </w:p>
        </w:tc>
      </w:tr>
      <w:tr w:rsidR="006353DD" w14:paraId="2DFE4651" w14:textId="77777777" w:rsidTr="00E405EE"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B325" w14:textId="707858F7" w:rsidR="006353DD" w:rsidRDefault="005A34D1">
            <w:pPr>
              <w:pStyle w:val="Char"/>
              <w:ind w:firstLine="0"/>
              <w:jc w:val="center"/>
            </w:pPr>
            <w:r>
              <w:t>[jcsj]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598D" w14:textId="5BF4B381" w:rsidR="006353DD" w:rsidRDefault="00E405EE">
            <w:pPr>
              <w:pStyle w:val="Char"/>
              <w:ind w:firstLine="0"/>
              <w:jc w:val="center"/>
            </w:pPr>
            <w:r>
              <w:t>[jcz]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3829" w14:textId="6D64876F" w:rsidR="006353DD" w:rsidRDefault="00A55211">
            <w:pPr>
              <w:pStyle w:val="Char"/>
              <w:ind w:firstLine="0"/>
              <w:jc w:val="center"/>
            </w:pPr>
            <w:r>
              <w:t>[zl]</w:t>
            </w:r>
          </w:p>
        </w:tc>
        <w:tc>
          <w:tcPr>
            <w:tcW w:w="111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B850BE" w14:textId="18E7517D" w:rsidR="006353DD" w:rsidRDefault="003C350A">
            <w:pPr>
              <w:pStyle w:val="Char"/>
              <w:ind w:firstLine="0"/>
              <w:jc w:val="center"/>
            </w:pPr>
            <w:r>
              <w:t>[zzl]</w:t>
            </w:r>
          </w:p>
        </w:tc>
      </w:tr>
    </w:tbl>
    <w:p w14:paraId="24ED44FB" w14:textId="77777777" w:rsidR="006353DD" w:rsidRDefault="009938AE">
      <w:pPr>
        <w:pStyle w:val="Char"/>
        <w:ind w:firstLine="562"/>
        <w:rPr>
          <w:b/>
        </w:rPr>
      </w:pPr>
      <w:r>
        <w:rPr>
          <w:rFonts w:hint="eastAsia"/>
          <w:b/>
        </w:rPr>
        <w:t>（</w:t>
      </w:r>
      <w:r>
        <w:rPr>
          <w:b/>
        </w:rPr>
        <w:t>2</w:t>
      </w:r>
      <w:r>
        <w:rPr>
          <w:rFonts w:hint="eastAsia"/>
          <w:b/>
        </w:rPr>
        <w:t>）各地区预警情况</w:t>
      </w:r>
    </w:p>
    <w:p w14:paraId="3D7C20D5" w14:textId="77777777" w:rsidR="006353DD" w:rsidRDefault="009938AE">
      <w:pPr>
        <w:pStyle w:val="Char"/>
        <w:ind w:firstLine="560"/>
      </w:pPr>
      <w:r>
        <w:rPr>
          <w:rFonts w:hint="eastAsia"/>
        </w:rPr>
        <w:t>根据</w:t>
      </w:r>
      <w:r>
        <w:t>2019</w:t>
      </w:r>
      <w:r>
        <w:rPr>
          <w:rFonts w:hint="eastAsia"/>
        </w:rPr>
        <w:t>年生态保护红线范围内建设用地面积现状监测值和规划目标（</w:t>
      </w:r>
      <w:r>
        <w:t>2035</w:t>
      </w:r>
      <w:r>
        <w:rPr>
          <w:rFonts w:hint="eastAsia"/>
        </w:rPr>
        <w:t>）的差值与实施情况，汇总各个地区预警分布详情如下表。</w:t>
      </w:r>
    </w:p>
    <w:tbl>
      <w:tblPr>
        <w:tblStyle w:val="af8"/>
        <w:tblW w:w="8476" w:type="dxa"/>
        <w:tblLook w:val="04A0" w:firstRow="1" w:lastRow="0" w:firstColumn="1" w:lastColumn="0" w:noHBand="0" w:noVBand="1"/>
      </w:tblPr>
      <w:tblGrid>
        <w:gridCol w:w="8476"/>
      </w:tblGrid>
      <w:tr w:rsidR="006353DD" w14:paraId="6A278174" w14:textId="77777777">
        <w:trPr>
          <w:trHeight w:val="402"/>
        </w:trPr>
        <w:tc>
          <w:tcPr>
            <w:tcW w:w="8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E046870" w14:textId="4AD8EA98" w:rsidR="006353DD" w:rsidRDefault="009938AE">
            <w:pPr>
              <w:pStyle w:val="af4"/>
              <w:keepNext/>
              <w:jc w:val="center"/>
            </w:pPr>
            <w:r>
              <w:rPr>
                <w:rFonts w:hint="eastAsia"/>
              </w:rPr>
              <w:t>表</w:t>
            </w:r>
            <w:r>
              <w:t xml:space="preserve"> </w:t>
            </w:r>
            <w:r w:rsidR="00EC57F0">
              <w:t>{{hea</w:t>
            </w:r>
            <w:r w:rsidR="00A5496C">
              <w:t>d</w:t>
            </w:r>
            <w:r w:rsidR="00EC57F0">
              <w:t>Xzq}}</w:t>
            </w:r>
            <w:r>
              <w:t xml:space="preserve"> </w:t>
            </w:r>
            <w:r>
              <w:rPr>
                <w:rFonts w:hint="eastAsia"/>
              </w:rPr>
              <w:t>各地区预警情况</w:t>
            </w:r>
          </w:p>
        </w:tc>
      </w:tr>
    </w:tbl>
    <w:p w14:paraId="089E2725" w14:textId="77777777" w:rsidR="006353DD" w:rsidRDefault="006353D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037"/>
        <w:gridCol w:w="1339"/>
        <w:gridCol w:w="732"/>
        <w:gridCol w:w="1035"/>
        <w:gridCol w:w="1034"/>
      </w:tblGrid>
      <w:tr w:rsidR="006353DD" w14:paraId="73B05976" w14:textId="77777777" w:rsidTr="00D968AF"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6E6A" w14:textId="4A1A8C1E" w:rsidR="006353DD" w:rsidRDefault="00990A7A">
            <w:pPr>
              <w:pStyle w:val="HTML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{{earWarnInDiffRegions}}</w:t>
            </w:r>
            <w:r w:rsidR="009938AE">
              <w:rPr>
                <w:rFonts w:hint="eastAsia"/>
                <w:b/>
              </w:rPr>
              <w:t>序号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A649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地区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06D3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规划目标</w:t>
            </w:r>
            <w:r>
              <w:rPr>
                <w:rFonts w:hint="eastAsia"/>
                <w:b/>
              </w:rPr>
              <w:lastRenderedPageBreak/>
              <w:t>（</w:t>
            </w:r>
            <w:r>
              <w:rPr>
                <w:b/>
              </w:rPr>
              <w:t>2035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B15B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监测</w:t>
            </w:r>
            <w:r>
              <w:rPr>
                <w:rFonts w:hint="eastAsia"/>
                <w:b/>
              </w:rPr>
              <w:lastRenderedPageBreak/>
              <w:t>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CEB2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差值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45F3" w14:textId="77777777" w:rsidR="006353DD" w:rsidRDefault="009938AE">
            <w:pPr>
              <w:pStyle w:val="Char"/>
              <w:ind w:firstLine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预警状态</w:t>
            </w:r>
          </w:p>
        </w:tc>
      </w:tr>
      <w:tr w:rsidR="006353DD" w14:paraId="26D138D0" w14:textId="77777777" w:rsidTr="00D968AF"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EA12" w14:textId="7A8B27C4" w:rsidR="006353DD" w:rsidRDefault="007D10AA">
            <w:pPr>
              <w:pStyle w:val="Char"/>
              <w:ind w:firstLine="0"/>
              <w:jc w:val="center"/>
            </w:pPr>
            <w:r>
              <w:t>[xh]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8516" w14:textId="4C1A4EDD" w:rsidR="006353DD" w:rsidRDefault="009442CB">
            <w:pPr>
              <w:pStyle w:val="Char"/>
              <w:ind w:firstLine="0"/>
              <w:jc w:val="center"/>
            </w:pPr>
            <w:r>
              <w:rPr>
                <w:rFonts w:hint="eastAsia"/>
              </w:rPr>
              <w:t>[</w:t>
            </w:r>
            <w:r>
              <w:t>dq]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80F3" w14:textId="29F883DD" w:rsidR="006353DD" w:rsidRDefault="008259DA">
            <w:pPr>
              <w:pStyle w:val="Char"/>
              <w:ind w:firstLine="0"/>
              <w:jc w:val="center"/>
            </w:pPr>
            <w:r>
              <w:t>[ghmb]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A9BF" w14:textId="057C41EC" w:rsidR="006353DD" w:rsidRDefault="00077379">
            <w:pPr>
              <w:pStyle w:val="Char"/>
              <w:ind w:firstLine="0"/>
              <w:jc w:val="center"/>
            </w:pPr>
            <w:r>
              <w:t>[jcz]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218" w14:textId="28AE23D1" w:rsidR="006353DD" w:rsidRDefault="00110B9A">
            <w:pPr>
              <w:pStyle w:val="Char"/>
              <w:ind w:firstLine="0"/>
              <w:jc w:val="center"/>
            </w:pPr>
            <w:r>
              <w:t>[cz]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14EB" w14:textId="010FF288" w:rsidR="006353DD" w:rsidRDefault="000C7EEB">
            <w:pPr>
              <w:pStyle w:val="Char"/>
              <w:ind w:firstLine="0"/>
              <w:jc w:val="center"/>
            </w:pPr>
            <w:r>
              <w:rPr>
                <w:rFonts w:hint="eastAsia"/>
              </w:rPr>
              <w:t>[</w:t>
            </w:r>
            <w:r>
              <w:t>yjzt]</w:t>
            </w:r>
          </w:p>
        </w:tc>
      </w:tr>
    </w:tbl>
    <w:p w14:paraId="58F7E2B4" w14:textId="6A96FF9A" w:rsidR="009938AE" w:rsidRDefault="00D968AF">
      <w:r>
        <w:rPr>
          <w:rFonts w:hint="eastAsia"/>
        </w:rPr>
        <w:t>{</w:t>
      </w:r>
      <w:r>
        <w:t>{/datas}}</w:t>
      </w:r>
    </w:p>
    <w:sectPr w:rsidR="009938AE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FBB2D" w14:textId="77777777" w:rsidR="009C196F" w:rsidRDefault="009C196F">
      <w:r>
        <w:separator/>
      </w:r>
    </w:p>
  </w:endnote>
  <w:endnote w:type="continuationSeparator" w:id="0">
    <w:p w14:paraId="2C9D1ABC" w14:textId="77777777" w:rsidR="009C196F" w:rsidRDefault="009C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672B0" w14:textId="77777777" w:rsidR="006353DD" w:rsidRDefault="009938AE">
    <w:pPr>
      <w:pStyle w:val="af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5AD3CA" wp14:editId="767BCA1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4" cy="147954"/>
              <wp:effectExtent l="0" t="0" r="18414" b="4444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5C3A8" w14:textId="77777777" w:rsidR="006353DD" w:rsidRDefault="009938AE">
                          <w:pPr>
                            <w:pStyle w:val="af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</w:rPr>
                            <w:t>1</w:t>
                          </w:r>
                          <w:r>
                            <w:rPr>
                              <w:rFonts w:ascii="宋体" w:hAnsi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5AD3CA" id="文本框 1" o:spid="_x0000_s1026" style="position:absolute;margin-left:0;margin-top:0;width:4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" filled="f" stroked="f">
              <v:textbox style="mso-fit-shape-to-text:t" inset="0,0,0,0">
                <w:txbxContent>
                  <w:p w14:paraId="0605C3A8" w14:textId="77777777" w:rsidR="006353DD" w:rsidRDefault="009938AE">
                    <w:pPr>
                      <w:pStyle w:val="af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 w:hint="eastAsia"/>
                      </w:rPr>
                      <w:fldChar w:fldCharType="begin"/>
                    </w:r>
                    <w:r>
                      <w:rPr>
                        <w:rFonts w:ascii="宋体" w:hAnsi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hint="eastAsia"/>
                      </w:rPr>
                      <w:fldChar w:fldCharType="separate"/>
                    </w:r>
                    <w:r>
                      <w:rPr>
                        <w:rFonts w:ascii="宋体" w:hAnsi="宋体"/>
                      </w:rPr>
                      <w:t>1</w:t>
                    </w:r>
                    <w:r>
                      <w:rPr>
                        <w:rFonts w:ascii="宋体" w:hAnsi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C69BF" w14:textId="77777777" w:rsidR="009C196F" w:rsidRDefault="009C196F">
      <w:r>
        <w:separator/>
      </w:r>
    </w:p>
  </w:footnote>
  <w:footnote w:type="continuationSeparator" w:id="0">
    <w:p w14:paraId="7E0F04C9" w14:textId="77777777" w:rsidR="009C196F" w:rsidRDefault="009C1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23ED7"/>
    <w:multiLevelType w:val="hybridMultilevel"/>
    <w:tmpl w:val="FE9AE242"/>
    <w:lvl w:ilvl="0" w:tplc="975C129A">
      <w:start w:val="1"/>
      <w:numFmt w:val="decimal"/>
      <w:lvlText w:val="%1."/>
      <w:lvlJc w:val="left"/>
      <w:pPr>
        <w:ind w:left="420" w:hanging="419"/>
      </w:pPr>
    </w:lvl>
    <w:lvl w:ilvl="1" w:tplc="19542396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97B8EECC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982EB8A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187A6146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59FA4776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E2F47116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C0981DFE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E4FE69D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3DD"/>
    <w:rsid w:val="00077379"/>
    <w:rsid w:val="000C7EEB"/>
    <w:rsid w:val="00110B9A"/>
    <w:rsid w:val="00136EFF"/>
    <w:rsid w:val="001B4CD6"/>
    <w:rsid w:val="00235EE3"/>
    <w:rsid w:val="00283555"/>
    <w:rsid w:val="00383949"/>
    <w:rsid w:val="00395215"/>
    <w:rsid w:val="003C350A"/>
    <w:rsid w:val="003F604E"/>
    <w:rsid w:val="0042397C"/>
    <w:rsid w:val="005A34D1"/>
    <w:rsid w:val="006353DD"/>
    <w:rsid w:val="00784976"/>
    <w:rsid w:val="007B2791"/>
    <w:rsid w:val="007D10AA"/>
    <w:rsid w:val="00801CB3"/>
    <w:rsid w:val="008124C6"/>
    <w:rsid w:val="0082193F"/>
    <w:rsid w:val="008259DA"/>
    <w:rsid w:val="008441F9"/>
    <w:rsid w:val="008722FF"/>
    <w:rsid w:val="0088195A"/>
    <w:rsid w:val="009442CB"/>
    <w:rsid w:val="00990A7A"/>
    <w:rsid w:val="009938AE"/>
    <w:rsid w:val="009C196F"/>
    <w:rsid w:val="00A121EE"/>
    <w:rsid w:val="00A5496C"/>
    <w:rsid w:val="00A55211"/>
    <w:rsid w:val="00A63BB5"/>
    <w:rsid w:val="00AC7FF8"/>
    <w:rsid w:val="00AE5A5E"/>
    <w:rsid w:val="00BA00B7"/>
    <w:rsid w:val="00C92E20"/>
    <w:rsid w:val="00CC220F"/>
    <w:rsid w:val="00CD78F9"/>
    <w:rsid w:val="00D113F4"/>
    <w:rsid w:val="00D968AF"/>
    <w:rsid w:val="00E10A4F"/>
    <w:rsid w:val="00E405EE"/>
    <w:rsid w:val="00EB440D"/>
    <w:rsid w:val="00EC57F0"/>
    <w:rsid w:val="00ED5353"/>
    <w:rsid w:val="00F454F5"/>
    <w:rsid w:val="00FC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08B50"/>
  <w15:docId w15:val="{14531C02-44E6-4CB8-BB71-02D8D314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Calibri"/>
        <w:sz w:val="21"/>
        <w:szCs w:val="22"/>
        <w:lang w:val="en-US" w:eastAsia="zh-CN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120"/>
      <w:outlineLvl w:val="0"/>
    </w:pPr>
    <w:rPr>
      <w:rFonts w:ascii="仿宋" w:eastAsia="仿宋" w:hAnsi="仿宋" w:cs="仿宋"/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40" w:after="120"/>
      <w:outlineLvl w:val="1"/>
    </w:pPr>
    <w:rPr>
      <w:rFonts w:ascii="仿宋" w:eastAsia="仿宋" w:hAnsi="仿宋" w:cs="仿宋"/>
      <w:b/>
      <w:bCs/>
      <w:sz w:val="36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标题 3 字符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标题 4 字符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标题 5 字符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标题 6 字符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标题 7 字符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标题 8 字符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标题 9 字符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标题 字符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副标题 字符"/>
    <w:basedOn w:val="a0"/>
    <w:link w:val="a7"/>
    <w:uiPriority w:val="11"/>
    <w:rPr>
      <w:sz w:val="24"/>
      <w:szCs w:val="24"/>
    </w:rPr>
  </w:style>
  <w:style w:type="paragraph" w:styleId="a9">
    <w:name w:val="Quote"/>
    <w:basedOn w:val="a"/>
    <w:next w:val="a"/>
    <w:link w:val="aa"/>
    <w:uiPriority w:val="29"/>
    <w:qFormat/>
    <w:pPr>
      <w:ind w:left="720" w:right="720"/>
    </w:pPr>
    <w:rPr>
      <w:i/>
    </w:rPr>
  </w:style>
  <w:style w:type="character" w:customStyle="1" w:styleId="aa">
    <w:name w:val="引用 字符"/>
    <w:link w:val="a9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明显引用 字符"/>
    <w:link w:val="ab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脚注文本 字符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TOC1">
    <w:name w:val="toc 1"/>
    <w:basedOn w:val="a"/>
    <w:next w:val="a"/>
    <w:uiPriority w:val="39"/>
    <w:unhideWhenUsed/>
    <w:pPr>
      <w:spacing w:after="57"/>
    </w:pPr>
  </w:style>
  <w:style w:type="paragraph" w:styleId="TOC2">
    <w:name w:val="toc 2"/>
    <w:basedOn w:val="a"/>
    <w:next w:val="a"/>
    <w:uiPriority w:val="39"/>
    <w:unhideWhenUsed/>
    <w:pPr>
      <w:spacing w:after="57"/>
      <w:ind w:left="283"/>
    </w:pPr>
  </w:style>
  <w:style w:type="paragraph" w:styleId="TOC3">
    <w:name w:val="toc 3"/>
    <w:basedOn w:val="a"/>
    <w:next w:val="a"/>
    <w:uiPriority w:val="39"/>
    <w:unhideWhenUsed/>
    <w:pPr>
      <w:spacing w:after="57"/>
      <w:ind w:left="567"/>
    </w:pPr>
  </w:style>
  <w:style w:type="paragraph" w:styleId="TOC4">
    <w:name w:val="toc 4"/>
    <w:basedOn w:val="a"/>
    <w:next w:val="a"/>
    <w:uiPriority w:val="39"/>
    <w:unhideWhenUsed/>
    <w:pPr>
      <w:spacing w:after="57"/>
      <w:ind w:left="850"/>
    </w:pPr>
  </w:style>
  <w:style w:type="paragraph" w:styleId="TOC5">
    <w:name w:val="toc 5"/>
    <w:basedOn w:val="a"/>
    <w:next w:val="a"/>
    <w:uiPriority w:val="39"/>
    <w:unhideWhenUsed/>
    <w:pPr>
      <w:spacing w:after="57"/>
      <w:ind w:left="1134"/>
    </w:pPr>
  </w:style>
  <w:style w:type="paragraph" w:styleId="TOC6">
    <w:name w:val="toc 6"/>
    <w:basedOn w:val="a"/>
    <w:next w:val="a"/>
    <w:uiPriority w:val="39"/>
    <w:unhideWhenUsed/>
    <w:pPr>
      <w:spacing w:after="57"/>
      <w:ind w:left="1417"/>
    </w:pPr>
  </w:style>
  <w:style w:type="paragraph" w:styleId="TOC7">
    <w:name w:val="toc 7"/>
    <w:basedOn w:val="a"/>
    <w:next w:val="a"/>
    <w:uiPriority w:val="39"/>
    <w:unhideWhenUsed/>
    <w:pPr>
      <w:spacing w:after="57"/>
      <w:ind w:left="1701"/>
    </w:pPr>
  </w:style>
  <w:style w:type="paragraph" w:styleId="TOC8">
    <w:name w:val="toc 8"/>
    <w:basedOn w:val="a"/>
    <w:next w:val="a"/>
    <w:uiPriority w:val="39"/>
    <w:unhideWhenUsed/>
    <w:pPr>
      <w:spacing w:after="57"/>
      <w:ind w:left="1984"/>
    </w:pPr>
  </w:style>
  <w:style w:type="paragraph" w:styleId="TOC9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character" w:customStyle="1" w:styleId="10">
    <w:name w:val="标题 1 字符"/>
    <w:basedOn w:val="a0"/>
    <w:link w:val="1"/>
    <w:uiPriority w:val="9"/>
    <w:qFormat/>
    <w:rPr>
      <w:rFonts w:ascii="仿宋" w:eastAsia="仿宋" w:hAnsi="仿宋" w:cs="仿宋"/>
      <w:b/>
      <w:bCs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="仿宋" w:eastAsia="仿宋" w:hAnsi="仿宋" w:cs="仿宋"/>
      <w:b/>
      <w:bCs/>
      <w:sz w:val="36"/>
      <w:szCs w:val="32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f2">
    <w:name w:val="header"/>
    <w:basedOn w:val="a"/>
    <w:link w:val="af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3">
    <w:name w:val="页眉 字符"/>
    <w:basedOn w:val="a0"/>
    <w:link w:val="af2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Char">
    <w:name w:val="Char"/>
    <w:basedOn w:val="a"/>
    <w:qFormat/>
    <w:pPr>
      <w:ind w:firstLine="200"/>
    </w:pPr>
    <w:rPr>
      <w:rFonts w:ascii="Times New Roman" w:eastAsia="仿宋" w:hAnsi="Times New Roman"/>
      <w:sz w:val="28"/>
      <w:szCs w:val="24"/>
    </w:rPr>
  </w:style>
  <w:style w:type="paragraph" w:styleId="af4">
    <w:name w:val="caption"/>
    <w:basedOn w:val="a"/>
    <w:next w:val="a"/>
    <w:uiPriority w:val="35"/>
    <w:unhideWhenUsed/>
    <w:qFormat/>
    <w:pPr>
      <w:spacing w:line="360" w:lineRule="auto"/>
    </w:pPr>
    <w:rPr>
      <w:rFonts w:ascii="Calibri Light" w:eastAsia="黑体" w:hAnsi="Calibri Light"/>
      <w:sz w:val="20"/>
      <w:szCs w:val="20"/>
    </w:rPr>
  </w:style>
  <w:style w:type="paragraph" w:styleId="af5">
    <w:name w:val="Body Text"/>
    <w:basedOn w:val="a"/>
    <w:link w:val="af6"/>
    <w:uiPriority w:val="1"/>
    <w:qFormat/>
    <w:pPr>
      <w:widowControl/>
      <w:spacing w:before="40" w:after="80"/>
      <w:jc w:val="left"/>
    </w:pPr>
    <w:rPr>
      <w:rFonts w:eastAsia="Calibri" w:cs="Calibri"/>
      <w:color w:val="000000" w:themeColor="text1"/>
      <w:sz w:val="18"/>
      <w:szCs w:val="20"/>
    </w:rPr>
  </w:style>
  <w:style w:type="character" w:customStyle="1" w:styleId="af6">
    <w:name w:val="正文文本 字符"/>
    <w:basedOn w:val="a0"/>
    <w:link w:val="af5"/>
    <w:uiPriority w:val="1"/>
    <w:rPr>
      <w:color w:val="000000" w:themeColor="text1"/>
      <w:sz w:val="18"/>
      <w:szCs w:val="20"/>
    </w:rPr>
  </w:style>
  <w:style w:type="paragraph" w:customStyle="1" w:styleId="BodyTextCenter">
    <w:name w:val="Body Text Center"/>
    <w:basedOn w:val="af5"/>
    <w:qFormat/>
    <w:pPr>
      <w:spacing w:after="40"/>
      <w:jc w:val="center"/>
    </w:pPr>
  </w:style>
  <w:style w:type="paragraph" w:customStyle="1" w:styleId="BodyTextRight">
    <w:name w:val="Body Text Right"/>
    <w:basedOn w:val="af5"/>
    <w:qFormat/>
    <w:pPr>
      <w:spacing w:after="40"/>
      <w:ind w:right="180"/>
      <w:jc w:val="right"/>
    </w:pPr>
  </w:style>
  <w:style w:type="paragraph" w:customStyle="1" w:styleId="SpaceBetween">
    <w:name w:val="Space Between"/>
    <w:basedOn w:val="a"/>
    <w:uiPriority w:val="1"/>
    <w:pPr>
      <w:widowControl/>
      <w:spacing w:after="360"/>
      <w:jc w:val="left"/>
    </w:pPr>
    <w:rPr>
      <w:rFonts w:eastAsia="Calibri" w:cs="Calibri"/>
      <w:color w:val="404040" w:themeColor="text1" w:themeTint="BF"/>
      <w:sz w:val="18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Pr>
      <w:rFonts w:ascii="宋体" w:eastAsia="宋体" w:hAnsi="宋体" w:cs="宋体"/>
      <w:sz w:val="24"/>
      <w:szCs w:val="24"/>
    </w:rPr>
  </w:style>
  <w:style w:type="character" w:styleId="af7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页脚 Char"/>
    <w:uiPriority w:val="99"/>
    <w:qFormat/>
    <w:rPr>
      <w:rFonts w:ascii="Calibri" w:hAnsi="Calibri"/>
      <w:sz w:val="18"/>
      <w:szCs w:val="18"/>
    </w:rPr>
  </w:style>
  <w:style w:type="character" w:customStyle="1" w:styleId="Char1">
    <w:name w:val="页眉 Char"/>
    <w:uiPriority w:val="99"/>
    <w:qFormat/>
    <w:rPr>
      <w:rFonts w:ascii="Calibri" w:hAnsi="Calibri"/>
      <w:sz w:val="18"/>
      <w:szCs w:val="18"/>
    </w:rPr>
  </w:style>
  <w:style w:type="paragraph" w:customStyle="1" w:styleId="StGen0">
    <w:name w:val="StGen0"/>
    <w:basedOn w:val="a"/>
    <w:next w:val="a"/>
    <w:uiPriority w:val="39"/>
    <w:unhideWhenUsed/>
    <w:pPr>
      <w:spacing w:line="360" w:lineRule="auto"/>
    </w:pPr>
    <w:rPr>
      <w:rFonts w:eastAsia="仿宋"/>
      <w:b/>
      <w:sz w:val="24"/>
    </w:rPr>
  </w:style>
  <w:style w:type="table" w:styleId="af8">
    <w:name w:val="Table Grid"/>
    <w:basedOn w:val="a1"/>
    <w:uiPriority w:val="5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1002408613@qq.com</cp:lastModifiedBy>
  <cp:revision>191</cp:revision>
  <dcterms:created xsi:type="dcterms:W3CDTF">2020-07-22T05:54:00Z</dcterms:created>
  <dcterms:modified xsi:type="dcterms:W3CDTF">2020-07-22T06:10:00Z</dcterms:modified>
</cp:coreProperties>
</file>